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70" w:rsidRPr="00CC7976" w:rsidRDefault="00B87142" w:rsidP="008E1870">
      <w:pPr>
        <w:spacing w:after="0"/>
        <w:rPr>
          <w:b/>
          <w:sz w:val="28"/>
          <w:szCs w:val="28"/>
          <w:u w:val="single"/>
        </w:rPr>
      </w:pPr>
      <w:r w:rsidRPr="00CC7976">
        <w:rPr>
          <w:b/>
          <w:sz w:val="28"/>
          <w:szCs w:val="28"/>
          <w:u w:val="single"/>
        </w:rPr>
        <w:t xml:space="preserve">Federal Legislative Priorities </w:t>
      </w:r>
    </w:p>
    <w:p w:rsidR="00B87142" w:rsidRDefault="00B87142" w:rsidP="008E187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current</w:t>
      </w:r>
      <w:r w:rsidR="00DA155C">
        <w:rPr>
          <w:sz w:val="24"/>
          <w:szCs w:val="24"/>
        </w:rPr>
        <w:t xml:space="preserve"> Iowa PTA </w:t>
      </w:r>
      <w:r>
        <w:rPr>
          <w:sz w:val="24"/>
          <w:szCs w:val="24"/>
        </w:rPr>
        <w:t>priorities are aligned to National PTA’s checklist for the 116</w:t>
      </w:r>
      <w:r w:rsidRPr="00B871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Congress currently in session.</w:t>
      </w:r>
    </w:p>
    <w:p w:rsidR="00B87142" w:rsidRDefault="00B87142" w:rsidP="00B871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 and Family Engagement </w:t>
      </w:r>
      <w:r w:rsidR="0054093A">
        <w:rPr>
          <w:sz w:val="24"/>
          <w:szCs w:val="24"/>
        </w:rPr>
        <w:t>in Education</w:t>
      </w:r>
    </w:p>
    <w:p w:rsidR="00B87142" w:rsidRDefault="00B87142" w:rsidP="00B871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 Investment in Education</w:t>
      </w:r>
    </w:p>
    <w:p w:rsidR="00B87142" w:rsidRDefault="00B87142" w:rsidP="00B871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Full Funding and reauthorization of Individual Disability Education Act, IDEA</w:t>
      </w:r>
    </w:p>
    <w:p w:rsidR="00B87142" w:rsidRDefault="0054093A" w:rsidP="00B871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Reauthorize the Child Nutrition Act</w:t>
      </w:r>
    </w:p>
    <w:p w:rsidR="00B87142" w:rsidRDefault="0054093A" w:rsidP="00B871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Protect Children, Families and Communities from Gun and Other Violence</w:t>
      </w:r>
      <w:r>
        <w:rPr>
          <w:sz w:val="24"/>
          <w:szCs w:val="24"/>
        </w:rPr>
        <w:t xml:space="preserve"> </w:t>
      </w:r>
    </w:p>
    <w:p w:rsidR="0054093A" w:rsidRDefault="0054093A" w:rsidP="00B871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Protect Student Privacy Online and Increase Access to Technology</w:t>
      </w:r>
    </w:p>
    <w:p w:rsidR="00B87142" w:rsidRDefault="00B87142" w:rsidP="00B871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on these points please follow the link provided, </w:t>
      </w:r>
      <w:hyperlink r:id="rId7" w:history="1">
        <w:r>
          <w:rPr>
            <w:rStyle w:val="Hyperlink"/>
          </w:rPr>
          <w:t>https://www.pta.org/docs/default-source/files/advocacy/public-policy-agenda/2019/issue-briefs/leg-checklist-trifold.pdf</w:t>
        </w:r>
      </w:hyperlink>
    </w:p>
    <w:p w:rsidR="0054093A" w:rsidRPr="003D17E5" w:rsidRDefault="0054093A" w:rsidP="00B87142">
      <w:pPr>
        <w:spacing w:after="0"/>
        <w:rPr>
          <w:sz w:val="20"/>
          <w:szCs w:val="20"/>
        </w:rPr>
      </w:pPr>
    </w:p>
    <w:p w:rsidR="0054093A" w:rsidRDefault="0054093A" w:rsidP="00B87142">
      <w:pPr>
        <w:spacing w:after="0"/>
        <w:rPr>
          <w:b/>
          <w:sz w:val="28"/>
          <w:szCs w:val="24"/>
        </w:rPr>
      </w:pPr>
      <w:r w:rsidRPr="0054093A">
        <w:rPr>
          <w:b/>
          <w:sz w:val="28"/>
          <w:szCs w:val="24"/>
        </w:rPr>
        <w:t>Position</w:t>
      </w:r>
      <w:r>
        <w:rPr>
          <w:b/>
          <w:sz w:val="28"/>
          <w:szCs w:val="24"/>
        </w:rPr>
        <w:t xml:space="preserve"> Statements</w:t>
      </w:r>
    </w:p>
    <w:p w:rsidR="0054093A" w:rsidRPr="0054093A" w:rsidRDefault="00DA155C" w:rsidP="00B87142">
      <w:pPr>
        <w:spacing w:after="0"/>
        <w:rPr>
          <w:sz w:val="24"/>
          <w:szCs w:val="24"/>
        </w:rPr>
      </w:pPr>
      <w:r>
        <w:rPr>
          <w:sz w:val="24"/>
          <w:szCs w:val="24"/>
        </w:rPr>
        <w:t>Iowa PTA position on important topics affecting children and educators are aligned with National PTA advocacy efforts and campaigns.</w:t>
      </w:r>
    </w:p>
    <w:p w:rsidR="0054093A" w:rsidRDefault="00DA155C" w:rsidP="005409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Dollars for Public Schools</w:t>
      </w:r>
    </w:p>
    <w:p w:rsidR="00DA155C" w:rsidRDefault="00DA155C" w:rsidP="005409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#STOPCutsToClassrooms</w:t>
      </w:r>
    </w:p>
    <w:p w:rsidR="00872122" w:rsidRDefault="00872122" w:rsidP="005409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Equity in Education</w:t>
      </w:r>
    </w:p>
    <w:p w:rsidR="00DA155C" w:rsidRPr="003D17E5" w:rsidRDefault="00DA155C" w:rsidP="00DA155C">
      <w:pPr>
        <w:spacing w:after="0"/>
        <w:rPr>
          <w:sz w:val="20"/>
          <w:szCs w:val="20"/>
        </w:rPr>
      </w:pPr>
    </w:p>
    <w:p w:rsidR="00DA155C" w:rsidRPr="00CC7976" w:rsidRDefault="00DA155C" w:rsidP="00DA155C">
      <w:pPr>
        <w:spacing w:after="0"/>
        <w:rPr>
          <w:b/>
          <w:sz w:val="28"/>
          <w:szCs w:val="24"/>
          <w:u w:val="single"/>
        </w:rPr>
      </w:pPr>
      <w:r w:rsidRPr="00CC7976">
        <w:rPr>
          <w:b/>
          <w:sz w:val="28"/>
          <w:szCs w:val="24"/>
          <w:u w:val="single"/>
        </w:rPr>
        <w:t>State Legislative Priorities</w:t>
      </w:r>
    </w:p>
    <w:p w:rsidR="00F47D25" w:rsidRDefault="00F47D25" w:rsidP="00DA155C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state legislative sessi</w:t>
      </w:r>
      <w:r w:rsidR="00872122">
        <w:rPr>
          <w:sz w:val="24"/>
          <w:szCs w:val="24"/>
        </w:rPr>
        <w:t>on will convene in January 2020.  Iowa PTA will work with our membership and other organizations in our state who share a common interest to further education by supporting teachers, and aim at ensuring every child achieves its full potential.  Iowa PTA priorities outline the focus for our state advocacy.</w:t>
      </w:r>
    </w:p>
    <w:p w:rsidR="00872122" w:rsidRDefault="00872122" w:rsidP="0087212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Adequate and Timely State Funding through State Supplemental Assistance for School Districts</w:t>
      </w:r>
    </w:p>
    <w:p w:rsidR="00872122" w:rsidRPr="00872122" w:rsidRDefault="00872122" w:rsidP="0087212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Support for Children Mental Health Funding {Legislation was passed but no appropriations was provided during the 2019 session.}</w:t>
      </w:r>
    </w:p>
    <w:p w:rsidR="00DA155C" w:rsidRDefault="00CC7976" w:rsidP="0087212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Support for English Language Learners</w:t>
      </w:r>
    </w:p>
    <w:p w:rsidR="00CC7976" w:rsidRDefault="00CC7976" w:rsidP="0087212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Early Childhood Education</w:t>
      </w:r>
    </w:p>
    <w:p w:rsidR="00CC7976" w:rsidRDefault="00CC7976" w:rsidP="0087212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to Educational Scholarships and/or Savings Accounts and Student Tuition Organization, STO, Tax credits {Public Dollars for Public Schools}</w:t>
      </w:r>
    </w:p>
    <w:p w:rsidR="00CC7976" w:rsidRPr="00872122" w:rsidRDefault="00CC7976" w:rsidP="0087212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Protect Iowa Public Employee Retirement System, IPERS</w:t>
      </w:r>
    </w:p>
    <w:p w:rsidR="00A94B57" w:rsidRDefault="00A94B57" w:rsidP="00A94B57">
      <w:pPr>
        <w:spacing w:after="0"/>
        <w:rPr>
          <w:b/>
          <w:sz w:val="28"/>
          <w:szCs w:val="24"/>
        </w:rPr>
      </w:pPr>
      <w:bookmarkStart w:id="0" w:name="_GoBack"/>
      <w:bookmarkEnd w:id="0"/>
      <w:r w:rsidRPr="0054093A">
        <w:rPr>
          <w:b/>
          <w:sz w:val="28"/>
          <w:szCs w:val="24"/>
        </w:rPr>
        <w:lastRenderedPageBreak/>
        <w:t>Position</w:t>
      </w:r>
      <w:r>
        <w:rPr>
          <w:b/>
          <w:sz w:val="28"/>
          <w:szCs w:val="24"/>
        </w:rPr>
        <w:t xml:space="preserve"> Statements</w:t>
      </w:r>
    </w:p>
    <w:p w:rsidR="00DA155C" w:rsidRDefault="00A94B57" w:rsidP="00A9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Iowa PTA position on important topics affecting children and educators are aligned with </w:t>
      </w:r>
      <w:r>
        <w:rPr>
          <w:sz w:val="24"/>
          <w:szCs w:val="24"/>
        </w:rPr>
        <w:t xml:space="preserve">other education and state organizations </w:t>
      </w:r>
      <w:r>
        <w:rPr>
          <w:sz w:val="24"/>
          <w:szCs w:val="24"/>
        </w:rPr>
        <w:t>advocacy efforts</w:t>
      </w:r>
      <w:r>
        <w:rPr>
          <w:sz w:val="24"/>
          <w:szCs w:val="24"/>
        </w:rPr>
        <w:t>.</w:t>
      </w:r>
    </w:p>
    <w:p w:rsidR="00A94B57" w:rsidRPr="009E4DEB" w:rsidRDefault="00A94B57" w:rsidP="00A94B57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  <w:u w:val="single"/>
        </w:rPr>
      </w:pPr>
      <w:r w:rsidRPr="00A94B57">
        <w:rPr>
          <w:i/>
          <w:sz w:val="24"/>
          <w:szCs w:val="24"/>
        </w:rPr>
        <w:t>School Choice</w:t>
      </w:r>
      <w:r>
        <w:rPr>
          <w:sz w:val="24"/>
          <w:szCs w:val="24"/>
        </w:rPr>
        <w:t xml:space="preserve">: Iowa law provides sufficient choice through public charter schools, open enrollment, home school assistance, post-secondary enrollment options and nonpublic school alternatives. Additional </w:t>
      </w:r>
      <w:r w:rsidRPr="009E4DEB">
        <w:rPr>
          <w:i/>
          <w:sz w:val="24"/>
          <w:szCs w:val="24"/>
          <w:u w:val="single"/>
        </w:rPr>
        <w:t>investment in tax credits for nonpublic tuition or other options are not necessary to provide educational choice.</w:t>
      </w:r>
    </w:p>
    <w:p w:rsidR="00A94B57" w:rsidRDefault="00A94B57" w:rsidP="00A94B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Education Technology</w:t>
      </w:r>
      <w:r>
        <w:rPr>
          <w:sz w:val="24"/>
          <w:szCs w:val="24"/>
        </w:rPr>
        <w:t xml:space="preserve">:  Technology is an important tool in providing a quality public education. School districts must have equitable access to technology. Access includes provision of hardware, software, technological support staff and access to a variety of Internet, broadband and network services including the Iowa Communication Network, ICN.  </w:t>
      </w:r>
      <w:r w:rsidR="009E4DEB">
        <w:rPr>
          <w:sz w:val="24"/>
          <w:szCs w:val="24"/>
        </w:rPr>
        <w:t xml:space="preserve">Administration of the ICN should continue to prioritize educational access above other users.  </w:t>
      </w:r>
      <w:r w:rsidR="009E4DEB" w:rsidRPr="009E4DEB">
        <w:rPr>
          <w:i/>
          <w:sz w:val="24"/>
          <w:szCs w:val="24"/>
          <w:u w:val="single"/>
        </w:rPr>
        <w:t>The state has a role in ensuring equitable access to technology</w:t>
      </w:r>
      <w:r w:rsidR="009E4DEB">
        <w:rPr>
          <w:sz w:val="24"/>
          <w:szCs w:val="24"/>
        </w:rPr>
        <w:t xml:space="preserve">. </w:t>
      </w:r>
    </w:p>
    <w:p w:rsidR="009E4DEB" w:rsidRDefault="009E4DEB" w:rsidP="00A94B57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Teacher Quality:  </w:t>
      </w:r>
      <w:r>
        <w:rPr>
          <w:sz w:val="24"/>
          <w:szCs w:val="24"/>
        </w:rPr>
        <w:t xml:space="preserve">Quality teaching is essential to high student achievement.  In order to recruit the best and brightest teachers into Iowa and retain our current quality teacher workforce. </w:t>
      </w:r>
      <w:r w:rsidRPr="009E4DEB">
        <w:rPr>
          <w:i/>
          <w:sz w:val="24"/>
          <w:szCs w:val="24"/>
          <w:u w:val="single"/>
        </w:rPr>
        <w:t>It is of high importance for school funding levels to remain sufficient to pay competitive wages.</w:t>
      </w:r>
    </w:p>
    <w:p w:rsidR="00225601" w:rsidRPr="00225601" w:rsidRDefault="00225601" w:rsidP="00A94B57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Child Health:  </w:t>
      </w:r>
      <w:r>
        <w:rPr>
          <w:sz w:val="24"/>
          <w:szCs w:val="24"/>
        </w:rPr>
        <w:t>Provide children with access to healthcare. Immediate enrollment into Medicaid or CHIP coverage at birth. Extend Medicaid, early periodic screening, diagnoses and treatment.</w:t>
      </w:r>
    </w:p>
    <w:p w:rsidR="009E4DEB" w:rsidRDefault="009E4DEB" w:rsidP="00135B9F">
      <w:pPr>
        <w:pStyle w:val="ListParagraph"/>
        <w:spacing w:after="0"/>
        <w:ind w:left="360"/>
        <w:rPr>
          <w:i/>
          <w:sz w:val="24"/>
          <w:szCs w:val="24"/>
          <w:u w:val="single"/>
        </w:rPr>
      </w:pPr>
    </w:p>
    <w:p w:rsidR="00135B9F" w:rsidRDefault="00135B9F" w:rsidP="00135B9F">
      <w:pPr>
        <w:pStyle w:val="ListParagraph"/>
        <w:spacing w:after="0"/>
        <w:ind w:left="0"/>
        <w:rPr>
          <w:b/>
          <w:sz w:val="24"/>
          <w:szCs w:val="24"/>
        </w:rPr>
      </w:pPr>
    </w:p>
    <w:p w:rsidR="00135B9F" w:rsidRDefault="00135B9F" w:rsidP="00135B9F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:rsidR="00135B9F" w:rsidRPr="00135B9F" w:rsidRDefault="00225601" w:rsidP="00135B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PTA Advocacy</w:t>
      </w:r>
      <w:r w:rsidR="00135B9F">
        <w:rPr>
          <w:sz w:val="24"/>
          <w:szCs w:val="24"/>
        </w:rPr>
        <w:t xml:space="preserve">, </w:t>
      </w:r>
      <w:hyperlink r:id="rId8" w:history="1">
        <w:r w:rsidR="00135B9F">
          <w:rPr>
            <w:rStyle w:val="Hyperlink"/>
          </w:rPr>
          <w:t>https://www.pta.org/home/advocacy</w:t>
        </w:r>
      </w:hyperlink>
    </w:p>
    <w:p w:rsidR="00135B9F" w:rsidRPr="00135B9F" w:rsidRDefault="00135B9F" w:rsidP="00135B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t xml:space="preserve">Iowa School Board Advocacy Agenda, </w:t>
      </w:r>
      <w:hyperlink r:id="rId9" w:history="1">
        <w:r>
          <w:rPr>
            <w:rStyle w:val="Hyperlink"/>
          </w:rPr>
          <w:t>https://www.ia-sb.org/Main/Advocacy_Center/IASB_s_Advocacy_Agenda/Iowa_School_Boards_Advocacy_Agenda.aspx</w:t>
        </w:r>
      </w:hyperlink>
    </w:p>
    <w:p w:rsidR="00135B9F" w:rsidRPr="00135B9F" w:rsidRDefault="00225601" w:rsidP="00135B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Child and Family Policy Center,  </w:t>
      </w:r>
      <w:hyperlink r:id="rId10" w:history="1">
        <w:r>
          <w:rPr>
            <w:rStyle w:val="Hyperlink"/>
          </w:rPr>
          <w:t>https://www.cfpciowa.org/en/advocacy/policy_priorities/</w:t>
        </w:r>
      </w:hyperlink>
    </w:p>
    <w:p w:rsidR="00B87142" w:rsidRPr="00B87142" w:rsidRDefault="00B87142" w:rsidP="00B87142">
      <w:pPr>
        <w:pStyle w:val="ListParagraph"/>
        <w:spacing w:after="0"/>
        <w:ind w:left="0"/>
        <w:rPr>
          <w:b/>
          <w:sz w:val="28"/>
          <w:szCs w:val="28"/>
        </w:rPr>
      </w:pPr>
    </w:p>
    <w:p w:rsidR="008E1870" w:rsidRPr="008E1870" w:rsidRDefault="008E1870" w:rsidP="008E1870">
      <w:pPr>
        <w:jc w:val="center"/>
        <w:rPr>
          <w:b/>
          <w:sz w:val="48"/>
        </w:rPr>
      </w:pPr>
    </w:p>
    <w:sectPr w:rsidR="008E1870" w:rsidRPr="008E1870" w:rsidSect="008E187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3F" w:rsidRDefault="00F37E3F" w:rsidP="00DA155C">
      <w:pPr>
        <w:spacing w:after="0" w:line="240" w:lineRule="auto"/>
      </w:pPr>
      <w:r>
        <w:separator/>
      </w:r>
    </w:p>
  </w:endnote>
  <w:endnote w:type="continuationSeparator" w:id="0">
    <w:p w:rsidR="00F37E3F" w:rsidRDefault="00F37E3F" w:rsidP="00DA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E5" w:rsidRDefault="003D17E5" w:rsidP="003D17E5">
    <w:pPr>
      <w:shd w:val="clear" w:color="auto" w:fill="FFFFFF"/>
      <w:spacing w:before="75" w:after="0" w:line="244" w:lineRule="atLeast"/>
      <w:rPr>
        <w:rFonts w:ascii="Arial" w:hAnsi="Arial" w:cs="Arial"/>
        <w:color w:val="2E3D4C"/>
        <w:sz w:val="20"/>
        <w:szCs w:val="20"/>
        <w:shd w:val="clear" w:color="auto" w:fill="FFFFFF"/>
      </w:rPr>
    </w:pPr>
    <w:r>
      <w:t xml:space="preserve">Iowa PTA, </w:t>
    </w:r>
    <w:r>
      <w:rPr>
        <w:rFonts w:ascii="Arial" w:eastAsia="Times New Roman" w:hAnsi="Arial" w:cs="Arial"/>
        <w:color w:val="3D5266"/>
        <w:sz w:val="20"/>
        <w:szCs w:val="20"/>
      </w:rPr>
      <w:t xml:space="preserve">PO Box 10634, </w:t>
    </w:r>
    <w:r w:rsidRPr="003D17E5">
      <w:rPr>
        <w:rFonts w:ascii="Arial" w:eastAsia="Times New Roman" w:hAnsi="Arial" w:cs="Arial"/>
        <w:color w:val="3D5266"/>
        <w:sz w:val="20"/>
        <w:szCs w:val="20"/>
      </w:rPr>
      <w:t>Cedar Rapids, IA 52410</w:t>
    </w:r>
    <w:r>
      <w:rPr>
        <w:rFonts w:ascii="Arial" w:eastAsia="Times New Roman" w:hAnsi="Arial" w:cs="Arial"/>
        <w:color w:val="3D5266"/>
        <w:sz w:val="20"/>
        <w:szCs w:val="20"/>
      </w:rPr>
      <w:tab/>
    </w:r>
    <w:r>
      <w:rPr>
        <w:rFonts w:ascii="Arial" w:eastAsia="Times New Roman" w:hAnsi="Arial" w:cs="Arial"/>
        <w:color w:val="3D5266"/>
        <w:sz w:val="20"/>
        <w:szCs w:val="20"/>
      </w:rPr>
      <w:tab/>
    </w:r>
    <w:hyperlink r:id="rId1" w:history="1">
      <w:r>
        <w:rPr>
          <w:rStyle w:val="Hyperlink"/>
        </w:rPr>
        <w:t>https://www.iowapta.org/</w:t>
      </w:r>
    </w:hyperlink>
    <w:r>
      <w:rPr>
        <w:rFonts w:ascii="Arial" w:eastAsia="Times New Roman" w:hAnsi="Arial" w:cs="Arial"/>
        <w:color w:val="3D5266"/>
        <w:sz w:val="20"/>
        <w:szCs w:val="20"/>
      </w:rPr>
      <w:t xml:space="preserve"> </w:t>
    </w:r>
    <w:r>
      <w:rPr>
        <w:rFonts w:ascii="Arial" w:eastAsia="Times New Roman" w:hAnsi="Arial" w:cs="Arial"/>
        <w:color w:val="3D5266"/>
        <w:sz w:val="20"/>
        <w:szCs w:val="20"/>
      </w:rPr>
      <w:tab/>
    </w:r>
    <w:r>
      <w:rPr>
        <w:rStyle w:val="Strong"/>
        <w:rFonts w:ascii="Arial" w:hAnsi="Arial" w:cs="Arial"/>
        <w:color w:val="2E3D4C"/>
        <w:sz w:val="20"/>
        <w:szCs w:val="20"/>
        <w:shd w:val="clear" w:color="auto" w:fill="FFFFFF"/>
      </w:rPr>
      <w:t> </w:t>
    </w:r>
    <w:r>
      <w:rPr>
        <w:rStyle w:val="Strong"/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>(319) 573-0049</w:t>
    </w:r>
  </w:p>
  <w:p w:rsidR="003D17E5" w:rsidRPr="003D17E5" w:rsidRDefault="003D17E5" w:rsidP="003D17E5">
    <w:pPr>
      <w:shd w:val="clear" w:color="auto" w:fill="FFFFFF"/>
      <w:spacing w:before="75" w:after="0" w:line="244" w:lineRule="atLeast"/>
      <w:rPr>
        <w:rFonts w:ascii="Arial" w:eastAsia="Times New Roman" w:hAnsi="Arial" w:cs="Arial"/>
        <w:color w:val="3D5266"/>
        <w:sz w:val="20"/>
        <w:szCs w:val="20"/>
      </w:rPr>
    </w:pPr>
    <w:r>
      <w:rPr>
        <w:rFonts w:ascii="Arial" w:hAnsi="Arial" w:cs="Arial"/>
        <w:color w:val="2E3D4C"/>
        <w:sz w:val="20"/>
        <w:szCs w:val="20"/>
        <w:shd w:val="clear" w:color="auto" w:fill="FFFFFF"/>
      </w:rPr>
      <w:t xml:space="preserve">Submitted: 5/17/19 </w:t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 w:rsidRPr="003D17E5">
      <w:rPr>
        <w:rFonts w:ascii="Arial" w:hAnsi="Arial" w:cs="Arial"/>
        <w:color w:val="2E3D4C"/>
        <w:sz w:val="20"/>
        <w:szCs w:val="20"/>
        <w:shd w:val="clear" w:color="auto" w:fill="FFFFFF"/>
      </w:rPr>
      <w:t xml:space="preserve">Page | </w:t>
    </w:r>
    <w:r w:rsidRPr="003D17E5">
      <w:rPr>
        <w:rFonts w:ascii="Arial" w:hAnsi="Arial" w:cs="Arial"/>
        <w:color w:val="2E3D4C"/>
        <w:sz w:val="20"/>
        <w:szCs w:val="20"/>
        <w:shd w:val="clear" w:color="auto" w:fill="FFFFFF"/>
      </w:rPr>
      <w:fldChar w:fldCharType="begin"/>
    </w:r>
    <w:r w:rsidRPr="003D17E5">
      <w:rPr>
        <w:rFonts w:ascii="Arial" w:hAnsi="Arial" w:cs="Arial"/>
        <w:color w:val="2E3D4C"/>
        <w:sz w:val="20"/>
        <w:szCs w:val="20"/>
        <w:shd w:val="clear" w:color="auto" w:fill="FFFFFF"/>
      </w:rPr>
      <w:instrText xml:space="preserve"> PAGE   \* MERGEFORMAT </w:instrText>
    </w:r>
    <w:r w:rsidRPr="003D17E5">
      <w:rPr>
        <w:rFonts w:ascii="Arial" w:hAnsi="Arial" w:cs="Arial"/>
        <w:color w:val="2E3D4C"/>
        <w:sz w:val="20"/>
        <w:szCs w:val="20"/>
        <w:shd w:val="clear" w:color="auto" w:fill="FFFFFF"/>
      </w:rPr>
      <w:fldChar w:fldCharType="separate"/>
    </w:r>
    <w:r>
      <w:rPr>
        <w:rFonts w:ascii="Arial" w:hAnsi="Arial" w:cs="Arial"/>
        <w:noProof/>
        <w:color w:val="2E3D4C"/>
        <w:sz w:val="20"/>
        <w:szCs w:val="20"/>
        <w:shd w:val="clear" w:color="auto" w:fill="FFFFFF"/>
      </w:rPr>
      <w:t>2</w:t>
    </w:r>
    <w:r w:rsidRPr="003D17E5">
      <w:rPr>
        <w:rFonts w:ascii="Arial" w:hAnsi="Arial" w:cs="Arial"/>
        <w:noProof/>
        <w:color w:val="2E3D4C"/>
        <w:sz w:val="20"/>
        <w:szCs w:val="20"/>
        <w:shd w:val="clear" w:color="auto" w:fill="FFFFFF"/>
      </w:rPr>
      <w:fldChar w:fldCharType="end"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  <w:r>
      <w:rPr>
        <w:rFonts w:ascii="Arial" w:hAnsi="Arial" w:cs="Arial"/>
        <w:color w:val="2E3D4C"/>
        <w:sz w:val="20"/>
        <w:szCs w:val="20"/>
        <w:shd w:val="clear" w:color="auto" w:fill="FFFFFF"/>
      </w:rPr>
      <w:tab/>
    </w:r>
  </w:p>
  <w:p w:rsidR="00225601" w:rsidRDefault="00225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3F" w:rsidRDefault="00F37E3F" w:rsidP="00DA155C">
      <w:pPr>
        <w:spacing w:after="0" w:line="240" w:lineRule="auto"/>
      </w:pPr>
      <w:r>
        <w:separator/>
      </w:r>
    </w:p>
  </w:footnote>
  <w:footnote w:type="continuationSeparator" w:id="0">
    <w:p w:rsidR="00F37E3F" w:rsidRDefault="00F37E3F" w:rsidP="00DA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25" w:rsidRDefault="00F47D25" w:rsidP="00F47D25">
    <w:pPr>
      <w:pStyle w:val="Header"/>
      <w:jc w:val="center"/>
    </w:pPr>
    <w:r>
      <w:rPr>
        <w:noProof/>
      </w:rPr>
      <w:drawing>
        <wp:inline distT="0" distB="0" distL="0" distR="0" wp14:anchorId="199417F6">
          <wp:extent cx="3701027" cy="1676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27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7D25" w:rsidRPr="00CC7976" w:rsidRDefault="00F47D25" w:rsidP="00F47D25">
    <w:pPr>
      <w:spacing w:after="0"/>
      <w:jc w:val="center"/>
      <w:rPr>
        <w:b/>
        <w:sz w:val="36"/>
      </w:rPr>
    </w:pPr>
    <w:r w:rsidRPr="00CC7976">
      <w:rPr>
        <w:b/>
        <w:sz w:val="36"/>
      </w:rPr>
      <w:t>2019-2020 LEGISLATIVE PLATFORM</w:t>
    </w:r>
  </w:p>
  <w:p w:rsidR="00F47D25" w:rsidRPr="00F47D25" w:rsidRDefault="00F47D25" w:rsidP="00F47D25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8E3"/>
    <w:multiLevelType w:val="multilevel"/>
    <w:tmpl w:val="002E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D02D4"/>
    <w:multiLevelType w:val="hybridMultilevel"/>
    <w:tmpl w:val="55A6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0422B"/>
    <w:multiLevelType w:val="hybridMultilevel"/>
    <w:tmpl w:val="776CC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072C4"/>
    <w:multiLevelType w:val="hybridMultilevel"/>
    <w:tmpl w:val="24F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773B"/>
    <w:multiLevelType w:val="hybridMultilevel"/>
    <w:tmpl w:val="AF6AF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E27FE"/>
    <w:multiLevelType w:val="hybridMultilevel"/>
    <w:tmpl w:val="DBC4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616831"/>
    <w:multiLevelType w:val="hybridMultilevel"/>
    <w:tmpl w:val="B5E21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70"/>
    <w:rsid w:val="00135B9F"/>
    <w:rsid w:val="00225601"/>
    <w:rsid w:val="003D17E5"/>
    <w:rsid w:val="0054093A"/>
    <w:rsid w:val="00550028"/>
    <w:rsid w:val="00872122"/>
    <w:rsid w:val="008E1870"/>
    <w:rsid w:val="009E4DEB"/>
    <w:rsid w:val="00A94B57"/>
    <w:rsid w:val="00B87142"/>
    <w:rsid w:val="00CC7976"/>
    <w:rsid w:val="00DA155C"/>
    <w:rsid w:val="00F37E3F"/>
    <w:rsid w:val="00F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45224-D1E3-4BCF-8D12-33F1C9AC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71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5C"/>
  </w:style>
  <w:style w:type="paragraph" w:styleId="Footer">
    <w:name w:val="footer"/>
    <w:basedOn w:val="Normal"/>
    <w:link w:val="FooterChar"/>
    <w:uiPriority w:val="99"/>
    <w:unhideWhenUsed/>
    <w:rsid w:val="00DA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5C"/>
  </w:style>
  <w:style w:type="character" w:styleId="Strong">
    <w:name w:val="Strong"/>
    <w:basedOn w:val="DefaultParagraphFont"/>
    <w:uiPriority w:val="22"/>
    <w:qFormat/>
    <w:rsid w:val="003D1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org/home/advoc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ta.org/docs/default-source/files/advocacy/public-policy-agenda/2019/issue-briefs/leg-checklist-trifold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fpciowa.org/en/advocacy/policy_prior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-sb.org/Main/Advocacy_Center/IASB_s_Advocacy_Agenda/Iowa_School_Boards_Advocacy_Agenda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owap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Nelson</dc:creator>
  <cp:keywords/>
  <dc:description/>
  <cp:lastModifiedBy>Miyuki Nelson</cp:lastModifiedBy>
  <cp:revision>1</cp:revision>
  <dcterms:created xsi:type="dcterms:W3CDTF">2019-05-17T03:40:00Z</dcterms:created>
  <dcterms:modified xsi:type="dcterms:W3CDTF">2019-05-17T16:39:00Z</dcterms:modified>
</cp:coreProperties>
</file>